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C1C6C6">
      <w:pPr>
        <w:spacing w:before="2040" w:after="120"/>
        <w:jc w:val="center"/>
        <w:rPr>
          <w:rFonts w:hint="eastAsia" w:ascii="黑体" w:hAnsi="黑体" w:eastAsia="黑体"/>
          <w:sz w:val="44"/>
          <w:szCs w:val="44"/>
        </w:rPr>
      </w:pPr>
      <w:bookmarkStart w:id="36" w:name="_GoBack"/>
      <w:bookmarkEnd w:id="36"/>
      <w:r>
        <w:rPr>
          <w:rFonts w:hint="eastAsia" w:ascii="黑体" w:hAnsi="黑体" w:eastAsia="黑体"/>
          <w:sz w:val="44"/>
          <w:szCs w:val="44"/>
        </w:rPr>
        <w:t>全国建设项目环评申报系统建设项目</w:t>
      </w:r>
    </w:p>
    <w:p w14:paraId="70E24BB7">
      <w:pPr>
        <w:spacing w:before="312" w:beforeLines="100" w:line="360" w:lineRule="auto"/>
        <w:jc w:val="center"/>
        <w:rPr>
          <w:rFonts w:hint="default" w:ascii="黑体" w:hAnsi="黑体" w:eastAsia="黑体" w:cs="Helvetica"/>
          <w:sz w:val="44"/>
          <w:szCs w:val="44"/>
          <w:lang w:val="en-US"/>
        </w:rPr>
      </w:pPr>
      <w:r>
        <w:rPr>
          <w:rFonts w:hint="eastAsia" w:ascii="黑体" w:hAnsi="黑体" w:eastAsia="黑体" w:cs="Helvetica"/>
          <w:sz w:val="44"/>
          <w:szCs w:val="44"/>
        </w:rPr>
        <w:t>用户使用手册</w:t>
      </w:r>
    </w:p>
    <w:p w14:paraId="71E82CE4">
      <w:pPr>
        <w:spacing w:before="312" w:beforeLines="100" w:line="360" w:lineRule="auto"/>
        <w:jc w:val="center"/>
        <w:rPr>
          <w:rFonts w:hint="eastAsia" w:ascii="黑体" w:hAnsi="黑体" w:eastAsia="黑体"/>
          <w:sz w:val="44"/>
          <w:szCs w:val="44"/>
        </w:rPr>
      </w:pPr>
    </w:p>
    <w:p w14:paraId="4860CE8C">
      <w:pPr>
        <w:bidi w:val="0"/>
        <w:rPr>
          <w:rFonts w:hint="eastAsia"/>
        </w:rPr>
      </w:pPr>
      <w:bookmarkStart w:id="0" w:name="_Toc498890233"/>
      <w:bookmarkStart w:id="1" w:name="_Toc498890283"/>
    </w:p>
    <w:p w14:paraId="35D1713E">
      <w:pPr>
        <w:bidi w:val="0"/>
        <w:rPr>
          <w:rFonts w:hint="eastAsia"/>
        </w:rPr>
      </w:pPr>
    </w:p>
    <w:p w14:paraId="52CD1543">
      <w:pPr>
        <w:bidi w:val="0"/>
        <w:rPr>
          <w:rFonts w:hint="eastAsia"/>
        </w:rPr>
      </w:pPr>
    </w:p>
    <w:p w14:paraId="48288906">
      <w:pPr>
        <w:bidi w:val="0"/>
        <w:rPr>
          <w:rFonts w:hint="eastAsia"/>
        </w:rPr>
      </w:pPr>
    </w:p>
    <w:p w14:paraId="39C02219">
      <w:pPr>
        <w:bidi w:val="0"/>
        <w:rPr>
          <w:rFonts w:hint="eastAsia"/>
        </w:rPr>
      </w:pPr>
    </w:p>
    <w:p w14:paraId="195164F5">
      <w:pPr>
        <w:bidi w:val="0"/>
        <w:rPr>
          <w:rFonts w:hint="eastAsia"/>
        </w:rPr>
      </w:pPr>
    </w:p>
    <w:p w14:paraId="383B0782">
      <w:pPr>
        <w:bidi w:val="0"/>
        <w:rPr>
          <w:rFonts w:hint="eastAsia"/>
        </w:rPr>
      </w:pPr>
    </w:p>
    <w:p w14:paraId="4F62F692">
      <w:pPr>
        <w:bidi w:val="0"/>
        <w:rPr>
          <w:rFonts w:hint="eastAsia"/>
        </w:rPr>
      </w:pPr>
    </w:p>
    <w:p w14:paraId="175A5C7E">
      <w:pPr>
        <w:bidi w:val="0"/>
        <w:rPr>
          <w:rFonts w:hint="eastAsia"/>
        </w:rPr>
      </w:pPr>
    </w:p>
    <w:p w14:paraId="31EB29DA">
      <w:pPr>
        <w:bidi w:val="0"/>
        <w:rPr>
          <w:rFonts w:hint="eastAsia"/>
        </w:rPr>
      </w:pPr>
    </w:p>
    <w:p w14:paraId="2521061C">
      <w:pPr>
        <w:bidi w:val="0"/>
        <w:rPr>
          <w:rFonts w:hint="eastAsia"/>
        </w:rPr>
      </w:pPr>
    </w:p>
    <w:p w14:paraId="414EFD80">
      <w:pPr>
        <w:bidi w:val="0"/>
        <w:rPr>
          <w:rFonts w:hint="eastAsia"/>
        </w:rPr>
      </w:pPr>
    </w:p>
    <w:p w14:paraId="6C14E1D8">
      <w:pPr>
        <w:bidi w:val="0"/>
        <w:rPr>
          <w:rFonts w:hint="eastAsia"/>
        </w:rPr>
      </w:pPr>
    </w:p>
    <w:p w14:paraId="49AA8907">
      <w:pPr>
        <w:bidi w:val="0"/>
        <w:rPr>
          <w:rFonts w:hint="eastAsia"/>
        </w:rPr>
      </w:pPr>
    </w:p>
    <w:p w14:paraId="501E93F3">
      <w:pPr>
        <w:bidi w:val="0"/>
        <w:rPr>
          <w:rFonts w:hint="eastAsia"/>
        </w:rPr>
      </w:pPr>
    </w:p>
    <w:p w14:paraId="07FB1703">
      <w:pPr>
        <w:bidi w:val="0"/>
        <w:rPr>
          <w:rFonts w:hint="eastAsia"/>
        </w:rPr>
      </w:pPr>
    </w:p>
    <w:p w14:paraId="13A445A4">
      <w:pPr>
        <w:bidi w:val="0"/>
        <w:rPr>
          <w:rFonts w:hint="eastAsia"/>
        </w:rPr>
      </w:pPr>
    </w:p>
    <w:p w14:paraId="43FD9E73">
      <w:pPr>
        <w:bidi w:val="0"/>
        <w:rPr>
          <w:rFonts w:hint="eastAsia"/>
        </w:rPr>
      </w:pPr>
    </w:p>
    <w:p w14:paraId="2D4EC6B1">
      <w:pPr>
        <w:bidi w:val="0"/>
        <w:rPr>
          <w:rFonts w:hint="eastAsia"/>
        </w:rPr>
      </w:pPr>
    </w:p>
    <w:p w14:paraId="118006BA">
      <w:pPr>
        <w:bidi w:val="0"/>
        <w:rPr>
          <w:rFonts w:hint="eastAsia"/>
        </w:rPr>
      </w:pPr>
    </w:p>
    <w:p w14:paraId="01A9CF8B">
      <w:pPr>
        <w:bidi w:val="0"/>
        <w:rPr>
          <w:rFonts w:hint="eastAsia"/>
        </w:rPr>
      </w:pPr>
    </w:p>
    <w:p w14:paraId="538D15C1">
      <w:pPr>
        <w:bidi w:val="0"/>
        <w:rPr>
          <w:rFonts w:hint="eastAsia"/>
        </w:rPr>
      </w:pPr>
    </w:p>
    <w:p w14:paraId="165218E2">
      <w:pPr>
        <w:bidi w:val="0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生态环境部环境工程评估中心</w:t>
      </w:r>
    </w:p>
    <w:p w14:paraId="1DAC956D">
      <w:pPr>
        <w:bidi w:val="0"/>
        <w:spacing w:line="360" w:lineRule="auto"/>
        <w:jc w:val="center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2025年</w:t>
      </w:r>
      <w:r>
        <w:br w:type="page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目录</w:t>
      </w:r>
      <w:bookmarkEnd w:id="0"/>
      <w:bookmarkEnd w:id="1"/>
    </w:p>
    <w:p w14:paraId="6DCAECF0">
      <w:pPr>
        <w:pStyle w:val="10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instrText xml:space="preserve"> TOC \o "1-4" \h \z \u </w:instrTex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fldChar w:fldCharType="separate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_Toc1673929520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 xml:space="preserve">1 </w:t>
      </w:r>
      <w:r>
        <w:t>注册和登录</w:t>
      </w:r>
      <w:r>
        <w:tab/>
      </w:r>
      <w:r>
        <w:fldChar w:fldCharType="begin"/>
      </w:r>
      <w:r>
        <w:instrText xml:space="preserve"> PAGEREF _Toc1673929520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159FA11C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_Toc1697666940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1.1 注册</w:t>
      </w:r>
      <w:r>
        <w:tab/>
      </w:r>
      <w:r>
        <w:fldChar w:fldCharType="begin"/>
      </w:r>
      <w:r>
        <w:instrText xml:space="preserve"> PAGEREF _Toc1697666940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265921D7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_Toc1220526538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1.2 登录</w:t>
      </w:r>
      <w:r>
        <w:tab/>
      </w:r>
      <w:r>
        <w:fldChar w:fldCharType="begin"/>
      </w:r>
      <w:r>
        <w:instrText xml:space="preserve"> PAGEREF _Toc1220526538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5278690">
      <w:pPr>
        <w:pStyle w:val="10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_Toc625728022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 填报</w:t>
      </w:r>
      <w:r>
        <w:tab/>
      </w:r>
      <w:r>
        <w:fldChar w:fldCharType="begin"/>
      </w:r>
      <w:r>
        <w:instrText xml:space="preserve"> PAGEREF _Toc625728022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18AC6FC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_Toc383446395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2.1 添加项目</w:t>
      </w:r>
      <w:r>
        <w:tab/>
      </w:r>
      <w:r>
        <w:fldChar w:fldCharType="begin"/>
      </w:r>
      <w:r>
        <w:instrText xml:space="preserve"> PAGEREF _Toc383446395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581F4E43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_Toc2132619765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 基础信息表</w:t>
      </w:r>
      <w:r>
        <w:tab/>
      </w:r>
      <w:r>
        <w:fldChar w:fldCharType="begin"/>
      </w:r>
      <w:r>
        <w:instrText xml:space="preserve"> PAGEREF _Toc2132619765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F124221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_Toc1438321925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2.2.1 建设项目基本信息</w:t>
      </w:r>
      <w:r>
        <w:tab/>
      </w:r>
      <w:r>
        <w:fldChar w:fldCharType="begin"/>
      </w:r>
      <w:r>
        <w:instrText xml:space="preserve"> PAGEREF _Toc1438321925 \h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7113F7E3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_Toc1800662843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2.2.2 建设单位、</w:t>
      </w:r>
      <w:r>
        <w:rPr>
          <w:rFonts w:hint="eastAsia" w:asciiTheme="minorEastAsia" w:hAnsiTheme="minorEastAsia" w:eastAsiaTheme="minorEastAsia" w:cstheme="minorEastAsia"/>
          <w:bCs/>
          <w:kern w:val="0"/>
          <w:szCs w:val="21"/>
          <w:lang w:val="en-US" w:eastAsia="zh-CN"/>
        </w:rPr>
        <w:t>环评文件编制</w:t>
      </w:r>
      <w:r>
        <w:rPr>
          <w:rFonts w:hint="eastAsia" w:asciiTheme="minorEastAsia" w:hAnsiTheme="minorEastAsia" w:eastAsiaTheme="minorEastAsia" w:cstheme="minorEastAsia"/>
        </w:rPr>
        <w:t>单</w:t>
      </w:r>
      <w:r>
        <w:rPr>
          <w:rFonts w:hint="eastAsia"/>
        </w:rPr>
        <w:t>位基本情况</w:t>
      </w:r>
      <w:r>
        <w:tab/>
      </w:r>
      <w:r>
        <w:fldChar w:fldCharType="begin"/>
      </w:r>
      <w:r>
        <w:instrText xml:space="preserve"> PAGEREF _Toc1800662843 \h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44CEFDFD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_Toc1400848777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2.2.3 污染物排放及相关情况</w:t>
      </w:r>
      <w:r>
        <w:tab/>
      </w:r>
      <w:r>
        <w:fldChar w:fldCharType="begin"/>
      </w:r>
      <w:r>
        <w:instrText xml:space="preserve"> PAGEREF _Toc1400848777 \h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376DC73B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_Toc1202172978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2.2.4 项目涉及保护区与风景名胜区的情况</w:t>
      </w:r>
      <w:r>
        <w:tab/>
      </w:r>
      <w:r>
        <w:fldChar w:fldCharType="begin"/>
      </w:r>
      <w:r>
        <w:instrText xml:space="preserve"> PAGEREF _Toc1202172978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2E06DF5C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_Toc1395090270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2.2.5 上传附件</w:t>
      </w:r>
      <w:r>
        <w:tab/>
      </w:r>
      <w:r>
        <w:fldChar w:fldCharType="begin"/>
      </w:r>
      <w:r>
        <w:instrText xml:space="preserve"> PAGEREF _Toc1395090270 \h </w:instrText>
      </w:r>
      <w:r>
        <w:fldChar w:fldCharType="separate"/>
      </w:r>
      <w:r>
        <w:t>13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0DAD05B5">
      <w:pPr>
        <w:pStyle w:val="7"/>
        <w:tabs>
          <w:tab w:val="right" w:leader="dot" w:pos="830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_Toc1055709944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2.2.6 完成</w:t>
      </w:r>
      <w:r>
        <w:tab/>
      </w:r>
      <w:r>
        <w:fldChar w:fldCharType="begin"/>
      </w:r>
      <w:r>
        <w:instrText xml:space="preserve"> PAGEREF _Toc1055709944 \h </w:instrText>
      </w:r>
      <w:r>
        <w:fldChar w:fldCharType="separate"/>
      </w:r>
      <w:r>
        <w:t>14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348EF094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_Toc807137294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/>
        </w:rPr>
        <w:t>2.3 项目列表</w:t>
      </w:r>
      <w:r>
        <w:tab/>
      </w:r>
      <w:r>
        <w:fldChar w:fldCharType="begin"/>
      </w:r>
      <w:r>
        <w:instrText xml:space="preserve"> PAGEREF _Toc807137294 \h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3D8E6C89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_Toc2049785806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 w:eastAsia="宋体"/>
          <w:lang w:val="en-US" w:eastAsia="zh-CN"/>
        </w:rPr>
        <w:t>2.4 自主撤回功能</w:t>
      </w:r>
      <w:r>
        <w:tab/>
      </w:r>
      <w:r>
        <w:fldChar w:fldCharType="begin"/>
      </w:r>
      <w:r>
        <w:instrText xml:space="preserve"> PAGEREF _Toc2049785806 \h </w:instrText>
      </w:r>
      <w:r>
        <w:fldChar w:fldCharType="separate"/>
      </w:r>
      <w:r>
        <w:t>17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0CB76C4C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_Toc817376268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 w:eastAsia="宋体"/>
          <w:lang w:val="en-US" w:eastAsia="zh-CN"/>
        </w:rPr>
        <w:t>2.5 企业补正</w:t>
      </w:r>
      <w:r>
        <w:rPr>
          <w:rFonts w:hint="eastAsia"/>
          <w:lang w:val="en-US" w:eastAsia="zh-CN"/>
        </w:rPr>
        <w:t>功能</w:t>
      </w:r>
      <w:r>
        <w:tab/>
      </w:r>
      <w:r>
        <w:fldChar w:fldCharType="begin"/>
      </w:r>
      <w:r>
        <w:instrText xml:space="preserve"> PAGEREF _Toc817376268 \h </w:instrText>
      </w:r>
      <w:r>
        <w:fldChar w:fldCharType="separate"/>
      </w:r>
      <w:r>
        <w:t>19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78E63752">
      <w:pPr>
        <w:pStyle w:val="11"/>
        <w:tabs>
          <w:tab w:val="right" w:leader="dot" w:pos="8306"/>
          <w:tab w:val="clear" w:pos="816"/>
          <w:tab w:val="clear" w:pos="8296"/>
        </w:tabs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begin"/>
      </w:r>
      <w:r>
        <w:rPr>
          <w:rFonts w:hint="eastAsia" w:asciiTheme="minorEastAsia" w:hAnsiTheme="minorEastAsia" w:eastAsiaTheme="minorEastAsia" w:cstheme="minorEastAsia"/>
          <w:szCs w:val="24"/>
        </w:rPr>
        <w:instrText xml:space="preserve"> HYPERLINK \l _Toc190046417 </w:instrText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separate"/>
      </w:r>
      <w:r>
        <w:rPr>
          <w:rFonts w:hint="eastAsia" w:eastAsia="宋体"/>
          <w:lang w:val="en-US" w:eastAsia="zh-CN"/>
        </w:rPr>
        <w:t xml:space="preserve">2.6 </w:t>
      </w:r>
      <w:r>
        <w:rPr>
          <w:rFonts w:hint="eastAsia"/>
          <w:lang w:val="en-US" w:eastAsia="zh-CN"/>
        </w:rPr>
        <w:t>评价功能</w:t>
      </w:r>
      <w:r>
        <w:tab/>
      </w:r>
      <w:r>
        <w:fldChar w:fldCharType="begin"/>
      </w:r>
      <w:r>
        <w:instrText xml:space="preserve"> PAGEREF _Toc190046417 \h </w:instrText>
      </w:r>
      <w:r>
        <w:fldChar w:fldCharType="separate"/>
      </w:r>
      <w:r>
        <w:t>20</w:t>
      </w:r>
      <w:r>
        <w:fldChar w:fldCharType="end"/>
      </w: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4EEF5D42">
      <w:pPr>
        <w:spacing w:line="360" w:lineRule="auto"/>
        <w:rPr>
          <w:rFonts w:ascii="仿宋_GB2312" w:hAnsi="黑体" w:eastAsia="仿宋_GB2312"/>
          <w:sz w:val="24"/>
        </w:rPr>
      </w:pPr>
      <w:r>
        <w:rPr>
          <w:rFonts w:hint="eastAsia" w:asciiTheme="minorEastAsia" w:hAnsiTheme="minorEastAsia" w:eastAsiaTheme="minorEastAsia" w:cstheme="minorEastAsia"/>
          <w:szCs w:val="24"/>
        </w:rPr>
        <w:fldChar w:fldCharType="end"/>
      </w:r>
    </w:p>
    <w:p w14:paraId="618F2CBA">
      <w:pPr>
        <w:spacing w:line="360" w:lineRule="auto"/>
        <w:rPr>
          <w:rFonts w:ascii="仿宋_GB2312" w:hAnsi="黑体" w:eastAsia="仿宋_GB2312"/>
          <w:sz w:val="24"/>
        </w:rPr>
      </w:pPr>
    </w:p>
    <w:p w14:paraId="77A71D0E">
      <w:pPr>
        <w:spacing w:line="360" w:lineRule="auto"/>
        <w:rPr>
          <w:rFonts w:ascii="仿宋_GB2312" w:hAnsi="黑体" w:eastAsia="仿宋_GB2312"/>
          <w:sz w:val="24"/>
        </w:rPr>
      </w:pPr>
    </w:p>
    <w:p w14:paraId="3E83A925">
      <w:pPr>
        <w:spacing w:line="360" w:lineRule="auto"/>
        <w:rPr>
          <w:rFonts w:hint="eastAsia" w:ascii="仿宋_GB2312" w:hAnsi="黑体" w:eastAsia="仿宋_GB2312"/>
          <w:sz w:val="24"/>
        </w:rPr>
      </w:pPr>
    </w:p>
    <w:p w14:paraId="68C4E357">
      <w:pPr>
        <w:spacing w:line="360" w:lineRule="auto"/>
        <w:rPr>
          <w:rFonts w:ascii="仿宋_GB2312" w:hAnsi="黑体" w:eastAsia="仿宋_GB2312"/>
          <w:sz w:val="24"/>
        </w:rPr>
      </w:pPr>
      <w:r>
        <w:rPr>
          <w:rFonts w:ascii="仿宋_GB2312" w:hAnsi="黑体" w:eastAsia="仿宋_GB2312"/>
          <w:b/>
          <w:bCs/>
          <w:kern w:val="0"/>
          <w:sz w:val="24"/>
        </w:rPr>
        <w:br w:type="column"/>
      </w:r>
      <w:r>
        <w:rPr>
          <w:rFonts w:hint="eastAsia" w:ascii="仿宋_GB2312" w:hAnsi="黑体" w:eastAsia="仿宋_GB2312"/>
          <w:bCs/>
          <w:kern w:val="0"/>
          <w:sz w:val="24"/>
        </w:rPr>
        <w:t>说明：为了获得更好的网站使用体验，推荐您使用谷歌浏览器访问本网站，其他浏览器可能出现兼容问题。</w:t>
      </w:r>
    </w:p>
    <w:p w14:paraId="49F98DC0">
      <w:pPr>
        <w:pStyle w:val="2"/>
        <w:rPr>
          <w:rFonts w:hint="eastAsia"/>
        </w:rPr>
      </w:pPr>
      <w:bookmarkStart w:id="2" w:name="_Toc1673929520"/>
      <w:r>
        <w:t>注册和登录</w:t>
      </w:r>
      <w:bookmarkEnd w:id="2"/>
    </w:p>
    <w:p w14:paraId="4F83D87A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用户在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全国环境影响评价管理</w:t>
      </w:r>
      <w:r>
        <w:rPr>
          <w:rFonts w:hint="eastAsia" w:ascii="仿宋_GB2312" w:hAnsi="黑体" w:eastAsia="仿宋_GB2312"/>
          <w:bCs/>
          <w:kern w:val="0"/>
          <w:sz w:val="24"/>
        </w:rPr>
        <w:t>信息平台进行注册和登录，在注册信息页面填入相关的企业信息进行注册，注册完成后回到首页输入用户名和密码即可登录到申报系统平台。</w:t>
      </w:r>
    </w:p>
    <w:p w14:paraId="5BB0CCD7">
      <w:pPr>
        <w:pStyle w:val="4"/>
        <w:rPr>
          <w:rFonts w:hint="eastAsia"/>
        </w:rPr>
      </w:pPr>
      <w:bookmarkStart w:id="3" w:name="_Toc498890285"/>
      <w:bookmarkStart w:id="4" w:name="_Toc498890235"/>
      <w:bookmarkStart w:id="5" w:name="_Toc1697666940"/>
      <w:r>
        <w:rPr>
          <w:rFonts w:hint="eastAsia"/>
        </w:rPr>
        <w:t>注册</w:t>
      </w:r>
      <w:bookmarkEnd w:id="3"/>
      <w:bookmarkEnd w:id="4"/>
      <w:bookmarkEnd w:id="5"/>
    </w:p>
    <w:p w14:paraId="4C084CFC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新注册</w:t>
      </w:r>
      <w:r>
        <w:rPr>
          <w:rFonts w:hint="eastAsia" w:ascii="仿宋_GB2312" w:hAnsi="黑体" w:eastAsia="仿宋_GB2312"/>
          <w:bCs/>
          <w:kern w:val="0"/>
          <w:sz w:val="24"/>
        </w:rPr>
        <w:t>用户可点击“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注册账号</w:t>
      </w:r>
      <w:r>
        <w:rPr>
          <w:rFonts w:hint="eastAsia" w:ascii="仿宋_GB2312" w:hAnsi="黑体" w:eastAsia="仿宋_GB2312"/>
          <w:bCs/>
          <w:kern w:val="0"/>
          <w:sz w:val="24"/>
        </w:rPr>
        <w:t>”文字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链接</w:t>
      </w:r>
      <w:r>
        <w:rPr>
          <w:rFonts w:hint="eastAsia" w:ascii="仿宋_GB2312" w:hAnsi="黑体" w:eastAsia="仿宋_GB2312"/>
          <w:bCs/>
          <w:kern w:val="0"/>
          <w:sz w:val="24"/>
        </w:rPr>
        <w:t>，即可跳转到注册页面。</w:t>
      </w:r>
    </w:p>
    <w:p w14:paraId="36D02D96">
      <w:pPr>
        <w:adjustRightInd w:val="0"/>
        <w:spacing w:line="360" w:lineRule="auto"/>
        <w:ind w:firstLine="420" w:firstLineChars="200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2880" cy="2545080"/>
            <wp:effectExtent l="0" t="0" r="20320" b="20320"/>
            <wp:docPr id="1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05E13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注册</w:t>
      </w:r>
    </w:p>
    <w:p w14:paraId="28D0F8D5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注册信息填写完成后在填写页面的底部，可点击“协议”阅读本系统协议。阅读结束后，勾选“我已阅读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并同意</w:t>
      </w:r>
      <w:r>
        <w:rPr>
          <w:rFonts w:hint="eastAsia" w:ascii="仿宋_GB2312" w:hAnsi="黑体" w:eastAsia="仿宋_GB2312"/>
          <w:bCs/>
          <w:kern w:val="0"/>
          <w:sz w:val="24"/>
        </w:rPr>
        <w:t>”选项，点击“注册”按钮，即可完成注册。在注册成功的提示框中点击确定后，返回首页，在登录版块输入用户名和密码，进入选择系统页面。</w:t>
      </w:r>
    </w:p>
    <w:p w14:paraId="65CA75D8">
      <w:pPr>
        <w:adjustRightInd w:val="0"/>
        <w:spacing w:line="360" w:lineRule="auto"/>
        <w:jc w:val="center"/>
        <w:textAlignment w:val="baseline"/>
      </w:pPr>
    </w:p>
    <w:p w14:paraId="254DBAF8">
      <w:pPr>
        <w:adjustRightInd w:val="0"/>
        <w:spacing w:line="360" w:lineRule="auto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drawing>
          <wp:inline distT="0" distB="0" distL="114300" distR="114300">
            <wp:extent cx="5273675" cy="3018155"/>
            <wp:effectExtent l="0" t="0" r="9525" b="4445"/>
            <wp:docPr id="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0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EAAF3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注册页面</w:t>
      </w:r>
    </w:p>
    <w:p w14:paraId="05C83701">
      <w:pPr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drawing>
          <wp:inline distT="0" distB="0" distL="114300" distR="114300">
            <wp:extent cx="5262880" cy="2497455"/>
            <wp:effectExtent l="0" t="0" r="20320" b="17145"/>
            <wp:docPr id="3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B190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注册成功</w:t>
      </w:r>
    </w:p>
    <w:p w14:paraId="39AB469C">
      <w:pPr>
        <w:pStyle w:val="4"/>
        <w:rPr>
          <w:rFonts w:hint="eastAsia"/>
        </w:rPr>
      </w:pPr>
      <w:bookmarkStart w:id="6" w:name="_Toc1220526538"/>
      <w:bookmarkStart w:id="7" w:name="_Toc498890286"/>
      <w:bookmarkStart w:id="8" w:name="_Toc498890236"/>
      <w:r>
        <w:rPr>
          <w:rFonts w:hint="eastAsia"/>
        </w:rPr>
        <w:t>登录</w:t>
      </w:r>
      <w:bookmarkEnd w:id="6"/>
      <w:bookmarkEnd w:id="7"/>
      <w:bookmarkEnd w:id="8"/>
    </w:p>
    <w:p w14:paraId="1DFB59C4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企业用户在登录页面正确输入账号、密码后，点击登录，进入系统选择页面。点击环评申报，进入申报系统列表页面。</w:t>
      </w:r>
    </w:p>
    <w:p w14:paraId="19EBFAC0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0340" cy="2519045"/>
            <wp:effectExtent l="0" t="0" r="22860" b="20955"/>
            <wp:docPr id="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D42D8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用户登录</w:t>
      </w:r>
    </w:p>
    <w:p w14:paraId="6A81211C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6055" cy="2516505"/>
            <wp:effectExtent l="0" t="0" r="17145" b="23495"/>
            <wp:docPr id="5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E2ECF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系统选择页面</w:t>
      </w:r>
    </w:p>
    <w:p w14:paraId="75D010F2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0340" cy="1750695"/>
            <wp:effectExtent l="0" t="0" r="22860" b="1905"/>
            <wp:docPr id="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F7A8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申报系统首页</w:t>
      </w:r>
    </w:p>
    <w:p w14:paraId="5483592A">
      <w:pPr>
        <w:pStyle w:val="2"/>
        <w:rPr>
          <w:rFonts w:hint="eastAsia"/>
        </w:rPr>
      </w:pPr>
      <w:r>
        <w:rPr>
          <w:kern w:val="0"/>
          <w:szCs w:val="21"/>
        </w:rPr>
        <w:br w:type="page"/>
      </w:r>
      <w:bookmarkStart w:id="9" w:name="_Toc625728022"/>
      <w:r>
        <w:rPr>
          <w:rFonts w:hint="eastAsia"/>
        </w:rPr>
        <w:t>填报</w:t>
      </w:r>
      <w:bookmarkEnd w:id="9"/>
    </w:p>
    <w:p w14:paraId="1AB9919E">
      <w:pPr>
        <w:pStyle w:val="4"/>
        <w:rPr>
          <w:rFonts w:hint="eastAsia"/>
        </w:rPr>
      </w:pPr>
      <w:r>
        <w:rPr>
          <w:rFonts w:hint="eastAsia"/>
        </w:rPr>
        <w:t xml:space="preserve"> </w:t>
      </w:r>
      <w:bookmarkStart w:id="10" w:name="_Toc383446395"/>
      <w:bookmarkStart w:id="11" w:name="_Toc498890288"/>
      <w:bookmarkStart w:id="12" w:name="_Toc498890238"/>
      <w:r>
        <w:rPr>
          <w:rFonts w:hint="eastAsia"/>
        </w:rPr>
        <w:t>添加项目</w:t>
      </w:r>
      <w:bookmarkEnd w:id="10"/>
      <w:bookmarkEnd w:id="11"/>
      <w:bookmarkEnd w:id="12"/>
    </w:p>
    <w:p w14:paraId="432765C4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企业进行建设项目环评申报时，点击“添加项目”按钮，即可进入填报信息页面。</w:t>
      </w:r>
    </w:p>
    <w:p w14:paraId="0D05F0F3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3515" cy="1800860"/>
            <wp:effectExtent l="0" t="0" r="19685" b="2540"/>
            <wp:docPr id="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D23DCB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7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添加项目</w:t>
      </w:r>
    </w:p>
    <w:p w14:paraId="25C6F2BF">
      <w:pPr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bookmarkStart w:id="13" w:name="_Toc498890289"/>
      <w:bookmarkStart w:id="14" w:name="_Toc498890239"/>
    </w:p>
    <w:p w14:paraId="0832A6AE">
      <w:pPr>
        <w:pStyle w:val="4"/>
      </w:pPr>
      <w:bookmarkStart w:id="15" w:name="_Toc2132619765"/>
      <w:r>
        <w:rPr>
          <w:rFonts w:hint="eastAsia"/>
        </w:rPr>
        <w:t>基础信息表</w:t>
      </w:r>
      <w:bookmarkEnd w:id="15"/>
    </w:p>
    <w:p w14:paraId="745339EB">
      <w:pPr>
        <w:pStyle w:val="5"/>
        <w:rPr>
          <w:rFonts w:hint="eastAsia"/>
        </w:rPr>
      </w:pPr>
      <w:bookmarkStart w:id="16" w:name="_Toc1438321925"/>
      <w:r>
        <w:rPr>
          <w:rFonts w:hint="eastAsia"/>
        </w:rPr>
        <w:t>建设项目基本信息</w:t>
      </w:r>
      <w:bookmarkEnd w:id="13"/>
      <w:bookmarkEnd w:id="14"/>
      <w:bookmarkEnd w:id="16"/>
    </w:p>
    <w:p w14:paraId="530806AC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建设项目基本信息页面中，若想保留当前已经填写的内容并中途退出的话，可点击页面底端的“保存”按钮，下次登录时可点击“编辑”继续修改填写申报项目信息。点击页面底端的“下一步”按钮，跳至建设单位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，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环评文件编制</w:t>
      </w:r>
      <w:r>
        <w:rPr>
          <w:rFonts w:hint="eastAsia" w:ascii="仿宋_GB2312" w:hAnsi="黑体" w:eastAsia="仿宋_GB2312"/>
          <w:bCs/>
          <w:kern w:val="0"/>
          <w:sz w:val="24"/>
        </w:rPr>
        <w:t>单位基本情况。</w:t>
      </w:r>
    </w:p>
    <w:p w14:paraId="61A9126E">
      <w:pPr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9230" cy="5776595"/>
            <wp:effectExtent l="0" t="0" r="13970" b="14605"/>
            <wp:docPr id="8" name="图片 33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3" descr="图片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77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C6042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8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建设项目基本信息</w:t>
      </w:r>
    </w:p>
    <w:p w14:paraId="1715A9A9">
      <w:pPr>
        <w:adjustRightInd w:val="0"/>
        <w:spacing w:after="156" w:afterLines="50" w:line="240" w:lineRule="atLeast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</w:p>
    <w:p w14:paraId="6735237C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对于有多个建设内容、规模的项目，用户点击“新增”按钮，自行填写。</w:t>
      </w:r>
    </w:p>
    <w:p w14:paraId="11344E17">
      <w:pPr>
        <w:adjustRightInd w:val="0"/>
        <w:spacing w:line="360" w:lineRule="auto"/>
        <w:jc w:val="center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9230" cy="2551430"/>
            <wp:effectExtent l="0" t="0" r="13970" b="13970"/>
            <wp:docPr id="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FA81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9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建设内容</w:t>
      </w:r>
    </w:p>
    <w:p w14:paraId="58BE6115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非线性工程需要填写建设地点中心坐标，点击“坐标定位”按钮，弹出地图定位系统，找到目标地点，点击，系统会有红色圆形标记位置，点击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“</w:t>
      </w:r>
      <w:r>
        <w:rPr>
          <w:rFonts w:hint="eastAsia" w:ascii="仿宋_GB2312" w:hAnsi="黑体" w:eastAsia="仿宋_GB2312"/>
          <w:bCs/>
          <w:kern w:val="0"/>
          <w:sz w:val="24"/>
        </w:rPr>
        <w:t>确定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”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按钮</w:t>
      </w:r>
      <w:r>
        <w:rPr>
          <w:rFonts w:hint="eastAsia" w:ascii="仿宋_GB2312" w:hAnsi="黑体" w:eastAsia="仿宋_GB2312"/>
          <w:bCs/>
          <w:kern w:val="0"/>
          <w:sz w:val="24"/>
        </w:rPr>
        <w:t>，即可返回建设项目基本信息页面，系统会将选定地点的坐标自动填入“中心坐标”项目中。</w:t>
      </w:r>
    </w:p>
    <w:p w14:paraId="53B23F60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72405" cy="2551430"/>
            <wp:effectExtent l="0" t="0" r="10795" b="13970"/>
            <wp:docPr id="10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3AD7F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10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中心坐标</w:t>
      </w:r>
    </w:p>
    <w:p w14:paraId="72419B08">
      <w:pPr>
        <w:adjustRightInd w:val="0"/>
        <w:spacing w:after="156" w:afterLines="50" w:line="240" w:lineRule="atLeast"/>
        <w:textAlignment w:val="baseline"/>
      </w:pPr>
      <w:r>
        <w:drawing>
          <wp:inline distT="0" distB="0" distL="114300" distR="114300">
            <wp:extent cx="5269230" cy="2557780"/>
            <wp:effectExtent l="0" t="0" r="13970" b="7620"/>
            <wp:docPr id="11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D85FE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地图显示</w:t>
      </w:r>
    </w:p>
    <w:p w14:paraId="6E0F8208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对于线性工程项目，用户可按需要添加多个建设地点以及起点坐标、终点坐标，用户还需要填入工程长度，另外用户还可根据需要增加途径点坐标等。</w:t>
      </w:r>
    </w:p>
    <w:p w14:paraId="0B6A9F54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59705" cy="2538730"/>
            <wp:effectExtent l="0" t="0" r="23495" b="1270"/>
            <wp:docPr id="12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53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2A7C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12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起止坐标</w:t>
      </w:r>
    </w:p>
    <w:p w14:paraId="79B0C79E">
      <w:pPr>
        <w:pStyle w:val="20"/>
        <w:tabs>
          <w:tab w:val="left" w:pos="7301"/>
        </w:tabs>
        <w:spacing w:before="46" w:after="93"/>
        <w:ind w:firstLine="480"/>
      </w:pPr>
      <w:r>
        <w:rPr>
          <w:rFonts w:hint="eastAsia"/>
        </w:rPr>
        <w:t>在总投资（万元）输入框内输入金额，当输入的金额大于系统内该行业类别最大金额时，系统提出提示。</w:t>
      </w:r>
    </w:p>
    <w:p w14:paraId="21A048DE">
      <w:pPr>
        <w:ind w:left="0" w:leftChars="0" w:firstLine="0" w:firstLineChars="0"/>
      </w:pPr>
      <w:r>
        <w:drawing>
          <wp:inline distT="0" distB="0" distL="114300" distR="114300">
            <wp:extent cx="5267960" cy="2374900"/>
            <wp:effectExtent l="0" t="0" r="15240" b="12700"/>
            <wp:docPr id="22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图片 2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4707B">
      <w:pPr>
        <w:pStyle w:val="6"/>
        <w:jc w:val="center"/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13</w:t>
      </w:r>
      <w:r>
        <w:fldChar w:fldCharType="end"/>
      </w:r>
      <w:r>
        <w:rPr>
          <w:rFonts w:hint="eastAsia"/>
        </w:rPr>
        <w:t>总投资提醒信息</w:t>
      </w:r>
    </w:p>
    <w:p w14:paraId="116E6D3F">
      <w:pPr>
        <w:pStyle w:val="20"/>
        <w:tabs>
          <w:tab w:val="left" w:pos="7301"/>
        </w:tabs>
        <w:spacing w:before="46" w:after="93"/>
        <w:ind w:firstLine="480"/>
      </w:pPr>
      <w:r>
        <w:rPr>
          <w:rFonts w:hint="eastAsia"/>
        </w:rPr>
        <w:t>在环保投资（万元）输入框内输入金额，当输入的金额大于总投资额时，系统提出提示。</w:t>
      </w:r>
    </w:p>
    <w:p w14:paraId="594DD7E3">
      <w:pPr>
        <w:ind w:left="0" w:leftChars="0" w:firstLine="0" w:firstLineChars="0"/>
      </w:pPr>
      <w:r>
        <w:drawing>
          <wp:inline distT="0" distB="0" distL="114300" distR="114300">
            <wp:extent cx="5262245" cy="2267585"/>
            <wp:effectExtent l="0" t="0" r="20955" b="18415"/>
            <wp:docPr id="23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图片 2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86761">
      <w:pPr>
        <w:pStyle w:val="6"/>
        <w:jc w:val="center"/>
        <w:rPr>
          <w:rFonts w:hint="eastAsia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14</w:t>
      </w:r>
      <w:r>
        <w:fldChar w:fldCharType="end"/>
      </w:r>
      <w:r>
        <w:rPr>
          <w:rFonts w:hint="eastAsia"/>
        </w:rPr>
        <w:t>环保投资额提醒</w:t>
      </w:r>
      <w:r>
        <w:rPr>
          <w:rFonts w:hint="eastAsia"/>
          <w:lang w:val="en-US" w:eastAsia="zh-CN"/>
        </w:rPr>
        <w:t>信息</w:t>
      </w:r>
    </w:p>
    <w:p w14:paraId="44B5376C">
      <w:pPr>
        <w:pStyle w:val="5"/>
        <w:rPr>
          <w:rFonts w:hint="eastAsia"/>
        </w:rPr>
      </w:pPr>
      <w:bookmarkStart w:id="17" w:name="_Toc1800662843"/>
      <w:bookmarkStart w:id="18" w:name="_Toc498890240"/>
      <w:bookmarkStart w:id="19" w:name="_Toc498890290"/>
      <w:r>
        <w:rPr>
          <w:rFonts w:hint="eastAsia"/>
        </w:rPr>
        <w:t>建设单位、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环评文件编制</w:t>
      </w:r>
      <w:r>
        <w:rPr>
          <w:rFonts w:hint="eastAsia"/>
        </w:rPr>
        <w:t>单位基本情况</w:t>
      </w:r>
      <w:bookmarkEnd w:id="17"/>
      <w:bookmarkEnd w:id="18"/>
      <w:bookmarkEnd w:id="19"/>
    </w:p>
    <w:p w14:paraId="77E770E2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建设单位信息名称等信息为系统带入内容，支持修改。企业需要填入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环评信用平台编码情况、环评文件编制</w:t>
      </w:r>
      <w:r>
        <w:rPr>
          <w:rFonts w:hint="eastAsia" w:ascii="仿宋_GB2312" w:hAnsi="黑体" w:eastAsia="仿宋_GB2312"/>
          <w:bCs/>
          <w:kern w:val="0"/>
          <w:sz w:val="24"/>
        </w:rPr>
        <w:t>单位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情况、编制人员情况</w:t>
      </w:r>
      <w:r>
        <w:rPr>
          <w:rFonts w:hint="eastAsia" w:ascii="仿宋_GB2312" w:hAnsi="黑体" w:eastAsia="仿宋_GB2312"/>
          <w:bCs/>
          <w:kern w:val="0"/>
          <w:sz w:val="24"/>
        </w:rPr>
        <w:t>。</w:t>
      </w:r>
    </w:p>
    <w:p w14:paraId="1511F9EE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55895" cy="3898900"/>
            <wp:effectExtent l="0" t="0" r="1905" b="12700"/>
            <wp:docPr id="13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AF18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15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建设单位，环评文件编制单位基本情况</w:t>
      </w:r>
    </w:p>
    <w:p w14:paraId="47C75C26">
      <w:pPr>
        <w:adjustRightInd w:val="0"/>
        <w:spacing w:line="360" w:lineRule="auto"/>
        <w:ind w:firstLine="480" w:firstLineChars="200"/>
        <w:textAlignment w:val="baseline"/>
        <w:rPr>
          <w:rFonts w:hint="default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点击“添加编制人员”按钮，可以添加编制人员信息，多次点击“添加编制人员”按钮，可以添加多人，完成后可以点击“保存”按钮保存该页面信息，或点击</w:t>
      </w:r>
    </w:p>
    <w:p w14:paraId="233DC966">
      <w:pPr>
        <w:adjustRightInd w:val="0"/>
        <w:spacing w:line="360" w:lineRule="auto"/>
        <w:ind w:firstLine="420" w:firstLineChars="200"/>
        <w:textAlignment w:val="baseline"/>
      </w:pPr>
      <w:r>
        <w:drawing>
          <wp:inline distT="0" distB="0" distL="114300" distR="114300">
            <wp:extent cx="5257165" cy="2566035"/>
            <wp:effectExtent l="0" t="0" r="635" b="24765"/>
            <wp:docPr id="14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0E73E">
      <w:pPr>
        <w:pStyle w:val="6"/>
        <w:adjustRightInd w:val="0"/>
        <w:spacing w:line="360" w:lineRule="auto"/>
        <w:ind w:firstLine="400" w:firstLineChars="200"/>
        <w:jc w:val="center"/>
        <w:textAlignment w:val="baseline"/>
        <w:rPr>
          <w:rFonts w:hint="default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16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添加编制人员</w:t>
      </w:r>
    </w:p>
    <w:p w14:paraId="1CAC5789">
      <w:pPr>
        <w:pStyle w:val="5"/>
        <w:rPr>
          <w:rFonts w:hint="eastAsia"/>
        </w:rPr>
      </w:pPr>
      <w:bookmarkStart w:id="20" w:name="_Toc498890291"/>
      <w:bookmarkStart w:id="21" w:name="_Toc1400848777"/>
      <w:bookmarkStart w:id="22" w:name="_Toc498890241"/>
      <w:r>
        <w:rPr>
          <w:rFonts w:hint="eastAsia"/>
        </w:rPr>
        <w:t>污染物排放及相关情况</w:t>
      </w:r>
      <w:bookmarkEnd w:id="20"/>
      <w:bookmarkEnd w:id="21"/>
      <w:bookmarkEnd w:id="22"/>
    </w:p>
    <w:p w14:paraId="61EDE143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污染物排放量页面已列出需要填写的常规污染物类型，没有对应数据则填0。其中废水项目还需选择废水的排放方式。若有特殊需要，还可以自行添加污染物类型，点击“新增污染物”按钮，出现新增弹窗，选择废气（废水），填入污染物类别，即可在相应位置新增行，用户可自行填入数据。自行新增的污染物可删除。</w:t>
      </w:r>
    </w:p>
    <w:p w14:paraId="100FEBA2">
      <w:pPr>
        <w:keepNext/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2880" cy="3185795"/>
            <wp:effectExtent l="0" t="0" r="20320" b="14605"/>
            <wp:docPr id="15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18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A5F2E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17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污染物排放量</w:t>
      </w:r>
    </w:p>
    <w:p w14:paraId="1026F475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8595" cy="2558415"/>
            <wp:effectExtent l="0" t="0" r="14605" b="6985"/>
            <wp:docPr id="16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5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6359A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18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新增污染物</w:t>
      </w:r>
    </w:p>
    <w:p w14:paraId="286D65AE">
      <w:pPr>
        <w:pStyle w:val="5"/>
      </w:pPr>
      <w:bookmarkStart w:id="23" w:name="_Toc1202172978"/>
      <w:bookmarkStart w:id="24" w:name="_Toc498890292"/>
      <w:bookmarkStart w:id="25" w:name="_Toc498890242"/>
      <w:r>
        <w:rPr>
          <w:rFonts w:hint="eastAsia"/>
        </w:rPr>
        <w:t>项目涉及保护区与风景名胜区的情况</w:t>
      </w:r>
      <w:bookmarkEnd w:id="23"/>
      <w:bookmarkEnd w:id="24"/>
      <w:bookmarkEnd w:id="25"/>
    </w:p>
    <w:p w14:paraId="1510EBB5">
      <w:pPr>
        <w:adjustRightInd w:val="0"/>
        <w:spacing w:line="360" w:lineRule="auto"/>
        <w:ind w:firstLine="480" w:firstLineChars="200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若涉及多个保护区和风景名胜区的项目，用户可点击“新增”按钮，自行填写相应内容，也可对新增行执行删除按钮。若无相应项目内容，可填无。</w:t>
      </w:r>
    </w:p>
    <w:p w14:paraId="4B21BE69">
      <w:pPr>
        <w:adjustRightInd w:val="0"/>
        <w:spacing w:line="360" w:lineRule="auto"/>
        <w:jc w:val="center"/>
        <w:textAlignment w:val="baseline"/>
        <w:rPr>
          <w:rFonts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72405" cy="2015490"/>
            <wp:effectExtent l="0" t="0" r="10795" b="16510"/>
            <wp:docPr id="17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A44B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19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项目涉及保护区与风景名胜区的情况</w:t>
      </w:r>
    </w:p>
    <w:p w14:paraId="78B45F9D">
      <w:pPr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</w:p>
    <w:p w14:paraId="0A8F3141">
      <w:pPr>
        <w:pStyle w:val="5"/>
        <w:rPr>
          <w:rFonts w:hint="eastAsia"/>
        </w:rPr>
      </w:pPr>
      <w:bookmarkStart w:id="26" w:name="_Toc498890245"/>
      <w:bookmarkStart w:id="27" w:name="_Toc498890295"/>
      <w:bookmarkStart w:id="28" w:name="_Toc1395090270"/>
      <w:r>
        <w:rPr>
          <w:rFonts w:hint="eastAsia"/>
        </w:rPr>
        <w:t>上传附件</w:t>
      </w:r>
      <w:bookmarkEnd w:id="26"/>
      <w:bookmarkEnd w:id="27"/>
      <w:bookmarkEnd w:id="28"/>
    </w:p>
    <w:p w14:paraId="7CB87267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  <w:lang w:eastAsia="zh-CN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用户点击“上传附件”按钮，选择本地相应的文件，进行上传。红色“*”为必填项</w:t>
      </w: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t>。</w:t>
      </w:r>
    </w:p>
    <w:p w14:paraId="3E2DE7A3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drawing>
          <wp:inline distT="0" distB="0" distL="114300" distR="114300">
            <wp:extent cx="5269230" cy="2406015"/>
            <wp:effectExtent l="0" t="0" r="13970" b="6985"/>
            <wp:docPr id="18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7C9E0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20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上传附件</w:t>
      </w:r>
    </w:p>
    <w:p w14:paraId="72D044E1">
      <w:pPr>
        <w:pStyle w:val="5"/>
        <w:rPr>
          <w:rFonts w:hint="eastAsia"/>
        </w:rPr>
      </w:pPr>
      <w:bookmarkStart w:id="29" w:name="_Toc498890246"/>
      <w:bookmarkStart w:id="30" w:name="_Toc498890296"/>
      <w:bookmarkStart w:id="31" w:name="_Toc1055709944"/>
      <w:r>
        <w:rPr>
          <w:rFonts w:hint="eastAsia"/>
        </w:rPr>
        <w:t>完成</w:t>
      </w:r>
      <w:bookmarkEnd w:id="29"/>
      <w:bookmarkEnd w:id="30"/>
      <w:bookmarkEnd w:id="31"/>
    </w:p>
    <w:p w14:paraId="4CF7D740">
      <w:pPr>
        <w:adjustRightInd w:val="0"/>
        <w:spacing w:line="360" w:lineRule="auto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完成页面是所有填报信息的汇总预览页，用户可在该页面检查填报内容。若检查信息无误，点击提交按钮，系统会监测信息是否填写完整，若不完整，则提示用户。若信息填写完整，出现提交提示，勾选“我已了解”，并点击“确认提交”，可将申报信息提交。</w:t>
      </w:r>
    </w:p>
    <w:p w14:paraId="6ECC588B">
      <w:pPr>
        <w:adjustRightInd w:val="0"/>
        <w:spacing w:line="360" w:lineRule="auto"/>
        <w:jc w:val="center"/>
        <w:textAlignment w:val="baseline"/>
        <w:rPr>
          <w:rFonts w:hint="eastAsia" w:ascii="仿宋_GB2312" w:hAnsi="黑体" w:eastAsia="仿宋_GB2312"/>
          <w:bCs/>
          <w:kern w:val="0"/>
          <w:sz w:val="24"/>
          <w:lang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eastAsia="zh-CN"/>
        </w:rPr>
        <w:drawing>
          <wp:inline distT="0" distB="0" distL="114300" distR="114300">
            <wp:extent cx="5269230" cy="9093200"/>
            <wp:effectExtent l="0" t="0" r="13970" b="0"/>
            <wp:docPr id="19" name="图片 44" descr="iShot_2025-07-04_17.03.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4" descr="iShot_2025-07-04_17.03.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909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80226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21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汇总预览页面</w:t>
      </w:r>
    </w:p>
    <w:p w14:paraId="4665BE41">
      <w:pPr>
        <w:adjustRightInd w:val="0"/>
        <w:spacing w:after="156" w:afterLines="50" w:line="240" w:lineRule="atLeast"/>
        <w:jc w:val="center"/>
        <w:textAlignment w:val="baseline"/>
      </w:pPr>
      <w:r>
        <w:drawing>
          <wp:inline distT="0" distB="0" distL="114300" distR="114300">
            <wp:extent cx="5268595" cy="2494915"/>
            <wp:effectExtent l="0" t="0" r="14605" b="19685"/>
            <wp:docPr id="20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C1A5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22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提交提示</w:t>
      </w:r>
    </w:p>
    <w:p w14:paraId="5FEA5BD1">
      <w:pPr>
        <w:adjustRightInd w:val="0"/>
        <w:spacing w:line="360" w:lineRule="auto"/>
        <w:jc w:val="center"/>
        <w:textAlignment w:val="baseline"/>
        <w:rPr>
          <w:rFonts w:hint="eastAsia"/>
        </w:rPr>
      </w:pPr>
      <w:r>
        <w:drawing>
          <wp:inline distT="0" distB="0" distL="114300" distR="114300">
            <wp:extent cx="5266055" cy="2522855"/>
            <wp:effectExtent l="0" t="0" r="17145" b="17145"/>
            <wp:docPr id="2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0A438D">
      <w:pPr>
        <w:pStyle w:val="6"/>
        <w:adjustRightInd w:val="0"/>
        <w:spacing w:after="156" w:afterLines="50" w:line="240" w:lineRule="atLeast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23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 xml:space="preserve"> 确认提交</w:t>
      </w:r>
    </w:p>
    <w:p w14:paraId="2ACF3E42">
      <w:pPr>
        <w:pStyle w:val="4"/>
        <w:rPr>
          <w:rFonts w:hint="eastAsia"/>
        </w:rPr>
      </w:pPr>
      <w:bookmarkStart w:id="32" w:name="_Toc807137294"/>
      <w:r>
        <w:rPr>
          <w:rFonts w:hint="eastAsia"/>
        </w:rPr>
        <w:t>项目列表</w:t>
      </w:r>
      <w:bookmarkEnd w:id="32"/>
    </w:p>
    <w:p w14:paraId="4EB966E6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ascii="黑体" w:hAnsi="黑体" w:eastAsia="黑体"/>
          <w:bCs/>
          <w:kern w:val="0"/>
          <w:szCs w:val="21"/>
        </w:rPr>
      </w:pPr>
      <w:r>
        <w:rPr>
          <w:rFonts w:hint="eastAsia" w:ascii="仿宋_GB2312" w:hAnsi="黑体" w:eastAsia="仿宋_GB2312"/>
          <w:bCs/>
          <w:kern w:val="0"/>
          <w:sz w:val="24"/>
        </w:rPr>
        <w:t>提交完成后在企业用户首页显示该项目的状态为“</w:t>
      </w: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提交申请</w:t>
      </w:r>
      <w:r>
        <w:rPr>
          <w:rFonts w:hint="eastAsia" w:ascii="仿宋_GB2312" w:hAnsi="黑体" w:eastAsia="仿宋_GB2312"/>
          <w:bCs/>
          <w:kern w:val="0"/>
          <w:sz w:val="24"/>
        </w:rPr>
        <w:t>”。提交完成的项目只可查看不可修改不可删除，未提交的项目企业用户可自行修改删除。</w:t>
      </w:r>
    </w:p>
    <w:p w14:paraId="009E41AA">
      <w:pPr>
        <w:adjustRightInd w:val="0"/>
        <w:spacing w:line="360" w:lineRule="auto"/>
        <w:jc w:val="center"/>
        <w:textAlignment w:val="baseline"/>
      </w:pPr>
      <w:r>
        <w:drawing>
          <wp:inline distT="0" distB="0" distL="114300" distR="114300">
            <wp:extent cx="5272405" cy="1962150"/>
            <wp:effectExtent l="0" t="0" r="10795" b="19050"/>
            <wp:docPr id="22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4ABFF">
      <w:pPr>
        <w:pStyle w:val="6"/>
        <w:adjustRightInd w:val="0"/>
        <w:spacing w:line="360" w:lineRule="auto"/>
        <w:jc w:val="center"/>
        <w:textAlignment w:val="baseline"/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24</w:t>
      </w:r>
      <w:r>
        <w:fldChar w:fldCharType="end"/>
      </w:r>
      <w:r>
        <w:rPr>
          <w:rFonts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</w:rPr>
        <w:t>申报项目列表</w:t>
      </w:r>
    </w:p>
    <w:p w14:paraId="50F7BB34">
      <w:pPr>
        <w:pStyle w:val="4"/>
        <w:rPr>
          <w:rFonts w:hint="default" w:eastAsia="宋体"/>
          <w:lang w:val="en-US" w:eastAsia="zh-CN"/>
        </w:rPr>
      </w:pPr>
      <w:bookmarkStart w:id="33" w:name="_Toc2049785806"/>
      <w:r>
        <w:rPr>
          <w:rFonts w:hint="eastAsia" w:eastAsia="宋体"/>
          <w:lang w:val="en-US" w:eastAsia="zh-CN"/>
        </w:rPr>
        <w:t>自主撤回功能</w:t>
      </w:r>
      <w:bookmarkEnd w:id="33"/>
    </w:p>
    <w:p w14:paraId="556015C9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在项目列表中，建设单位可以对未受理的项目进行自主撤回。点击“撤回”按钮，可以将未受理的项目进行撤回。点击“重新申报”按钮，根据提示信息，点击“确定”按钮，将生成新项目草稿信息，点击“编辑”按钮可以重新进行项目编辑，进行申报提交。</w:t>
      </w:r>
    </w:p>
    <w:p w14:paraId="5B106FB9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注意：若该项目已经受理，建设单位不能进行自主撤回操作。</w:t>
      </w:r>
    </w:p>
    <w:p w14:paraId="63089030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6055" cy="2513330"/>
            <wp:effectExtent l="0" t="0" r="17145" b="1270"/>
            <wp:docPr id="2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A5507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30</w:t>
      </w:r>
      <w:r>
        <w:fldChar w:fldCharType="end"/>
      </w:r>
      <w:r>
        <w:rPr>
          <w:rFonts w:hint="eastAsia"/>
          <w:lang w:val="en-US" w:eastAsia="zh-CN"/>
        </w:rPr>
        <w:t>项目列表-撤回</w:t>
      </w:r>
    </w:p>
    <w:p w14:paraId="19941834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54625" cy="2472055"/>
            <wp:effectExtent l="0" t="0" r="3175" b="17145"/>
            <wp:docPr id="2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7BA44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31</w:t>
      </w:r>
      <w:r>
        <w:fldChar w:fldCharType="end"/>
      </w:r>
      <w:r>
        <w:rPr>
          <w:rFonts w:hint="eastAsia"/>
          <w:lang w:val="en-US" w:eastAsia="zh-CN"/>
        </w:rPr>
        <w:t>项目列表-撤回确认提示</w:t>
      </w:r>
    </w:p>
    <w:p w14:paraId="4C66EFF5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7325" cy="2536825"/>
            <wp:effectExtent l="0" t="0" r="15875" b="3175"/>
            <wp:docPr id="3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E61C8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32</w:t>
      </w:r>
      <w:r>
        <w:fldChar w:fldCharType="end"/>
      </w:r>
      <w:r>
        <w:rPr>
          <w:rFonts w:hint="eastAsia"/>
          <w:lang w:val="en-US" w:eastAsia="zh-CN"/>
        </w:rPr>
        <w:t>项目列表-重新申报</w:t>
      </w:r>
    </w:p>
    <w:p w14:paraId="1CA0C8C1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2245" cy="2513965"/>
            <wp:effectExtent l="0" t="0" r="20955" b="635"/>
            <wp:docPr id="3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1F695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eastAsia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33</w:t>
      </w:r>
      <w:r>
        <w:fldChar w:fldCharType="end"/>
      </w:r>
      <w:r>
        <w:rPr>
          <w:rFonts w:hint="eastAsia"/>
          <w:lang w:val="en-US" w:eastAsia="zh-CN"/>
        </w:rPr>
        <w:t>项目列表-重新申报确认</w:t>
      </w:r>
    </w:p>
    <w:p w14:paraId="4FDCB05F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8595" cy="2510790"/>
            <wp:effectExtent l="0" t="0" r="14605" b="3810"/>
            <wp:docPr id="3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1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2CADF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34</w:t>
      </w:r>
      <w:r>
        <w:fldChar w:fldCharType="end"/>
      </w:r>
      <w:r>
        <w:rPr>
          <w:rFonts w:hint="eastAsia"/>
          <w:lang w:val="en-US" w:eastAsia="zh-CN"/>
        </w:rPr>
        <w:t>项目列表-重新申报-草稿</w:t>
      </w:r>
    </w:p>
    <w:p w14:paraId="00D212E7">
      <w:pPr>
        <w:bidi w:val="0"/>
        <w:rPr>
          <w:rFonts w:hint="default"/>
          <w:lang w:val="en-US" w:eastAsia="zh-CN"/>
        </w:rPr>
      </w:pPr>
    </w:p>
    <w:p w14:paraId="21B58E3D">
      <w:pPr>
        <w:pStyle w:val="4"/>
        <w:rPr>
          <w:rFonts w:hint="default" w:eastAsia="宋体"/>
          <w:lang w:val="en-US" w:eastAsia="zh-CN"/>
        </w:rPr>
      </w:pPr>
      <w:bookmarkStart w:id="34" w:name="_Toc817376268"/>
      <w:r>
        <w:rPr>
          <w:rFonts w:hint="eastAsia" w:eastAsia="宋体"/>
          <w:lang w:val="en-US" w:eastAsia="zh-CN"/>
        </w:rPr>
        <w:t>企业补正</w:t>
      </w:r>
      <w:bookmarkEnd w:id="34"/>
      <w:r>
        <w:rPr>
          <w:rFonts w:hint="eastAsia" w:eastAsia="宋体"/>
          <w:lang w:val="en-US" w:eastAsia="zh-CN"/>
        </w:rPr>
        <w:t>功能</w:t>
      </w:r>
    </w:p>
    <w:p w14:paraId="4FF1DDEF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default" w:ascii="仿宋_GB2312" w:hAnsi="黑体" w:eastAsia="仿宋_GB2312" w:cs="Times New Roman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 w:cs="Times New Roman"/>
          <w:bCs/>
          <w:kern w:val="0"/>
          <w:sz w:val="24"/>
          <w:lang w:val="en-US" w:eastAsia="zh-CN"/>
        </w:rPr>
        <w:t>项目在审批过程中，若需要企业补充项目信息，在项目列表中可以查看到项目状态为“补充材料”，点击“修改”按钮，可以对该项目信息进行修改或重新附件上传等。</w:t>
      </w:r>
    </w:p>
    <w:p w14:paraId="25034FF7">
      <w:pPr>
        <w:adjustRightInd w:val="0"/>
        <w:spacing w:after="156" w:afterLines="50" w:line="240" w:lineRule="atLeast"/>
        <w:ind w:firstLine="420" w:firstLineChars="200"/>
        <w:textAlignment w:val="baseline"/>
      </w:pPr>
      <w:r>
        <w:drawing>
          <wp:inline distT="0" distB="0" distL="114300" distR="114300">
            <wp:extent cx="5268595" cy="2552065"/>
            <wp:effectExtent l="0" t="0" r="14605" b="13335"/>
            <wp:docPr id="3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AB467">
      <w:pPr>
        <w:pStyle w:val="6"/>
        <w:adjustRightInd w:val="0"/>
        <w:spacing w:after="156" w:afterLines="50" w:line="240" w:lineRule="atLeast"/>
        <w:ind w:firstLine="400" w:firstLineChars="200"/>
        <w:jc w:val="center"/>
        <w:textAlignment w:val="baseline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25</w:t>
      </w:r>
      <w:r>
        <w:fldChar w:fldCharType="end"/>
      </w:r>
      <w:r>
        <w:rPr>
          <w:rFonts w:hint="eastAsia"/>
          <w:lang w:val="en-US" w:eastAsia="zh-CN"/>
        </w:rPr>
        <w:t>项目列表-企业补正</w:t>
      </w:r>
    </w:p>
    <w:p w14:paraId="7F3AAEA7">
      <w:pPr>
        <w:pStyle w:val="4"/>
        <w:rPr>
          <w:rFonts w:hint="default" w:eastAsia="宋体"/>
          <w:lang w:val="en-US" w:eastAsia="zh-CN"/>
        </w:rPr>
      </w:pPr>
      <w:bookmarkStart w:id="35" w:name="_Toc190046417"/>
      <w:r>
        <w:rPr>
          <w:rFonts w:hint="eastAsia"/>
          <w:lang w:val="en-US" w:eastAsia="zh-CN"/>
        </w:rPr>
        <w:t>评价功能</w:t>
      </w:r>
      <w:bookmarkEnd w:id="35"/>
    </w:p>
    <w:p w14:paraId="4D2C9684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项目审批通过办结后，建设单位可以对该项目办理情况进行“好差评”，做项目列表中，点击项目状态为“审批通过”的项目，点击“评价”链接按钮，弹窗评价页面。选择满意度星级，5颗星为非常满意，选择具体评价内容，在评价内容描述中，填写评价具体信息。输入验证码，点击“提交”按钮，完成评价。</w:t>
      </w:r>
    </w:p>
    <w:p w14:paraId="6BCD32B6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注意：评价提交后不可以进行修改操作。</w:t>
      </w:r>
    </w:p>
    <w:p w14:paraId="5F5D4D7E">
      <w:pPr>
        <w:adjustRightInd w:val="0"/>
        <w:spacing w:after="156" w:afterLines="50" w:line="240" w:lineRule="atLeast"/>
        <w:ind w:firstLine="480" w:firstLineChars="200"/>
        <w:textAlignment w:val="baseline"/>
        <w:rPr>
          <w:rFonts w:hint="default" w:ascii="仿宋_GB2312" w:hAnsi="黑体" w:eastAsia="仿宋_GB2312"/>
          <w:bCs/>
          <w:kern w:val="0"/>
          <w:sz w:val="24"/>
          <w:lang w:val="en-US" w:eastAsia="zh-CN"/>
        </w:rPr>
      </w:pPr>
      <w:r>
        <w:rPr>
          <w:rFonts w:hint="eastAsia" w:ascii="仿宋_GB2312" w:hAnsi="黑体" w:eastAsia="仿宋_GB2312"/>
          <w:bCs/>
          <w:kern w:val="0"/>
          <w:sz w:val="24"/>
          <w:lang w:val="en-US" w:eastAsia="zh-CN"/>
        </w:rPr>
        <w:t>在项目列表中，已完成评价的项目，可以点击列表中“查看评价”按钮，查看评价详细信息。</w:t>
      </w:r>
    </w:p>
    <w:p w14:paraId="0AF3E101">
      <w:r>
        <w:drawing>
          <wp:inline distT="0" distB="0" distL="114300" distR="114300">
            <wp:extent cx="5257165" cy="2481580"/>
            <wp:effectExtent l="0" t="0" r="635" b="7620"/>
            <wp:docPr id="22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图片 1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AB67A">
      <w:pPr>
        <w:pStyle w:val="6"/>
        <w:adjustRightInd w:val="0"/>
        <w:spacing w:line="360" w:lineRule="auto"/>
        <w:jc w:val="center"/>
        <w:textAlignment w:val="baseline"/>
        <w:rPr>
          <w:rFonts w:hint="default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26</w:t>
      </w:r>
      <w:r>
        <w:fldChar w:fldCharType="end"/>
      </w:r>
      <w:r>
        <w:rPr>
          <w:rFonts w:hint="eastAsia" w:ascii="黑体" w:hAnsi="黑体" w:eastAsia="黑体"/>
          <w:bCs/>
          <w:kern w:val="0"/>
          <w:szCs w:val="21"/>
        </w:rPr>
        <w:t>申报项目列表</w:t>
      </w:r>
      <w:r>
        <w:rPr>
          <w:rFonts w:hint="eastAsia" w:ascii="黑体" w:hAnsi="黑体"/>
          <w:bCs/>
          <w:kern w:val="0"/>
          <w:szCs w:val="21"/>
          <w:lang w:val="en-US" w:eastAsia="zh-CN"/>
        </w:rPr>
        <w:t>-审批通过项目</w:t>
      </w:r>
    </w:p>
    <w:p w14:paraId="29DD8924">
      <w:r>
        <w:drawing>
          <wp:inline distT="0" distB="0" distL="114300" distR="114300">
            <wp:extent cx="5266055" cy="2516505"/>
            <wp:effectExtent l="0" t="0" r="17145" b="2349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AF60B">
      <w:pPr>
        <w:pStyle w:val="6"/>
        <w:adjustRightInd w:val="0"/>
        <w:spacing w:line="360" w:lineRule="auto"/>
        <w:jc w:val="center"/>
        <w:textAlignment w:val="baseline"/>
        <w:rPr>
          <w:rFonts w:hint="eastAsia" w:ascii="黑体" w:hAnsi="黑体" w:eastAsia="黑体"/>
          <w:bCs/>
          <w:kern w:val="0"/>
          <w:szCs w:val="21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27</w:t>
      </w:r>
      <w:r>
        <w:fldChar w:fldCharType="end"/>
      </w:r>
      <w:r>
        <w:rPr>
          <w:rFonts w:ascii="黑体" w:hAnsi="黑体" w:eastAsia="黑体"/>
          <w:bCs/>
          <w:kern w:val="0"/>
          <w:szCs w:val="21"/>
        </w:rPr>
        <w:t xml:space="preserve"> </w:t>
      </w:r>
      <w:r>
        <w:rPr>
          <w:rFonts w:hint="eastAsia" w:ascii="黑体" w:hAnsi="黑体" w:eastAsia="黑体"/>
          <w:bCs/>
          <w:kern w:val="0"/>
          <w:szCs w:val="21"/>
        </w:rPr>
        <w:t>申报项目列表</w:t>
      </w:r>
    </w:p>
    <w:p w14:paraId="0B02E147">
      <w:r>
        <w:drawing>
          <wp:inline distT="0" distB="0" distL="114300" distR="114300">
            <wp:extent cx="5263515" cy="2470785"/>
            <wp:effectExtent l="0" t="0" r="19685" b="18415"/>
            <wp:docPr id="2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673C8">
      <w:pPr>
        <w:pStyle w:val="6"/>
        <w:jc w:val="center"/>
        <w:rPr>
          <w:rFonts w:hint="default" w:eastAsia="宋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28</w:t>
      </w:r>
      <w:r>
        <w:fldChar w:fldCharType="end"/>
      </w:r>
      <w:r>
        <w:rPr>
          <w:rFonts w:hint="eastAsia"/>
          <w:lang w:val="en-US" w:eastAsia="zh-CN"/>
        </w:rPr>
        <w:t>项目申报列表-查看评价</w:t>
      </w:r>
    </w:p>
    <w:p w14:paraId="7D028B26">
      <w:r>
        <w:drawing>
          <wp:inline distT="0" distB="0" distL="114300" distR="114300">
            <wp:extent cx="5262245" cy="2501265"/>
            <wp:effectExtent l="0" t="0" r="20955" b="13335"/>
            <wp:docPr id="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50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3AAF2">
      <w:pPr>
        <w:pStyle w:val="6"/>
        <w:jc w:val="center"/>
        <w:rPr>
          <w:rFonts w:hint="default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29</w:t>
      </w:r>
      <w:r>
        <w:fldChar w:fldCharType="end"/>
      </w:r>
      <w:r>
        <w:rPr>
          <w:rFonts w:hint="eastAsia"/>
          <w:lang w:val="en-US" w:eastAsia="zh-CN"/>
        </w:rPr>
        <w:t>项目申报列表-查看评价-详细信息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75CA4F">
    <w:pPr>
      <w:pStyle w:val="8"/>
      <w:framePr w:wrap="around" w:vAnchor="text" w:hAnchor="margin" w:xAlign="center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separate"/>
    </w:r>
    <w:r>
      <w:rPr>
        <w:rStyle w:val="14"/>
      </w:rPr>
      <w:t>1</w:t>
    </w:r>
    <w:r>
      <w:fldChar w:fldCharType="end"/>
    </w:r>
  </w:p>
  <w:p w14:paraId="592A630C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297D5">
    <w:pPr>
      <w:pStyle w:val="8"/>
      <w:framePr w:wrap="around" w:vAnchor="text" w:hAnchor="margin" w:xAlign="center" w:y="1"/>
      <w:rPr>
        <w:rStyle w:val="14"/>
      </w:rPr>
    </w:pPr>
    <w:r>
      <w:fldChar w:fldCharType="begin"/>
    </w:r>
    <w:r>
      <w:rPr>
        <w:rStyle w:val="14"/>
      </w:rPr>
      <w:instrText xml:space="preserve">PAGE  </w:instrText>
    </w:r>
    <w:r>
      <w:fldChar w:fldCharType="end"/>
    </w:r>
  </w:p>
  <w:p w14:paraId="2ACFE23F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DE2E6F"/>
    <w:multiLevelType w:val="multilevel"/>
    <w:tmpl w:val="41DE2E6F"/>
    <w:lvl w:ilvl="0" w:tentative="0">
      <w:start w:val="1"/>
      <w:numFmt w:val="decimal"/>
      <w:pStyle w:val="2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pStyle w:val="4"/>
      <w:lvlText w:val="%1.%2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pStyle w:val="5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27"/>
    <w:rsid w:val="00036C60"/>
    <w:rsid w:val="00046858"/>
    <w:rsid w:val="00075932"/>
    <w:rsid w:val="00092EB0"/>
    <w:rsid w:val="000D760C"/>
    <w:rsid w:val="000F3D11"/>
    <w:rsid w:val="000F4512"/>
    <w:rsid w:val="00174BBD"/>
    <w:rsid w:val="001A0142"/>
    <w:rsid w:val="001B7660"/>
    <w:rsid w:val="001D3027"/>
    <w:rsid w:val="00217F0E"/>
    <w:rsid w:val="0022328D"/>
    <w:rsid w:val="00265EAE"/>
    <w:rsid w:val="0027639D"/>
    <w:rsid w:val="002B0F26"/>
    <w:rsid w:val="002C0BA3"/>
    <w:rsid w:val="002D2BFB"/>
    <w:rsid w:val="002D3035"/>
    <w:rsid w:val="00325D9B"/>
    <w:rsid w:val="0033228A"/>
    <w:rsid w:val="00344F99"/>
    <w:rsid w:val="00361CD4"/>
    <w:rsid w:val="003C6E22"/>
    <w:rsid w:val="003D4580"/>
    <w:rsid w:val="00416B35"/>
    <w:rsid w:val="0044350B"/>
    <w:rsid w:val="00461CD6"/>
    <w:rsid w:val="00474889"/>
    <w:rsid w:val="00492970"/>
    <w:rsid w:val="004B4867"/>
    <w:rsid w:val="004E5B68"/>
    <w:rsid w:val="00506398"/>
    <w:rsid w:val="005402F3"/>
    <w:rsid w:val="005432F8"/>
    <w:rsid w:val="00551817"/>
    <w:rsid w:val="0057078A"/>
    <w:rsid w:val="00570B7A"/>
    <w:rsid w:val="0058313C"/>
    <w:rsid w:val="006008EA"/>
    <w:rsid w:val="006221AE"/>
    <w:rsid w:val="00640874"/>
    <w:rsid w:val="006447E0"/>
    <w:rsid w:val="00656C4F"/>
    <w:rsid w:val="0066571B"/>
    <w:rsid w:val="00665FC3"/>
    <w:rsid w:val="00671537"/>
    <w:rsid w:val="00692A57"/>
    <w:rsid w:val="0069680D"/>
    <w:rsid w:val="006A2774"/>
    <w:rsid w:val="006B652A"/>
    <w:rsid w:val="006B691D"/>
    <w:rsid w:val="006C6F78"/>
    <w:rsid w:val="006F5D66"/>
    <w:rsid w:val="00752054"/>
    <w:rsid w:val="0075717B"/>
    <w:rsid w:val="007E32F0"/>
    <w:rsid w:val="008229EC"/>
    <w:rsid w:val="00874BFB"/>
    <w:rsid w:val="008B182B"/>
    <w:rsid w:val="00901C6F"/>
    <w:rsid w:val="00932C77"/>
    <w:rsid w:val="0093358F"/>
    <w:rsid w:val="0093489B"/>
    <w:rsid w:val="009972D1"/>
    <w:rsid w:val="009F38A1"/>
    <w:rsid w:val="00A209FC"/>
    <w:rsid w:val="00A2426A"/>
    <w:rsid w:val="00A51B23"/>
    <w:rsid w:val="00A64418"/>
    <w:rsid w:val="00AE0E5C"/>
    <w:rsid w:val="00C24684"/>
    <w:rsid w:val="00C734BA"/>
    <w:rsid w:val="00C74582"/>
    <w:rsid w:val="00C8219B"/>
    <w:rsid w:val="00C8674A"/>
    <w:rsid w:val="00CC7B2B"/>
    <w:rsid w:val="00CD29BF"/>
    <w:rsid w:val="00CF29F2"/>
    <w:rsid w:val="00D005CE"/>
    <w:rsid w:val="00D30F9E"/>
    <w:rsid w:val="00D36BEE"/>
    <w:rsid w:val="00D64A1C"/>
    <w:rsid w:val="00D76066"/>
    <w:rsid w:val="00D7791D"/>
    <w:rsid w:val="00DA3B0E"/>
    <w:rsid w:val="00DD241A"/>
    <w:rsid w:val="00E26A22"/>
    <w:rsid w:val="00E331E3"/>
    <w:rsid w:val="00E80911"/>
    <w:rsid w:val="00EA5975"/>
    <w:rsid w:val="00EE5EB1"/>
    <w:rsid w:val="00F05C7E"/>
    <w:rsid w:val="00F17E38"/>
    <w:rsid w:val="00FC4053"/>
    <w:rsid w:val="172623B4"/>
    <w:rsid w:val="1E4A0F04"/>
    <w:rsid w:val="1FDDCD30"/>
    <w:rsid w:val="27B33800"/>
    <w:rsid w:val="2AFB068D"/>
    <w:rsid w:val="2C487193"/>
    <w:rsid w:val="2E2825F6"/>
    <w:rsid w:val="2EDF6906"/>
    <w:rsid w:val="2FD207EB"/>
    <w:rsid w:val="30267E6C"/>
    <w:rsid w:val="3572166A"/>
    <w:rsid w:val="35B22AF0"/>
    <w:rsid w:val="39F7E492"/>
    <w:rsid w:val="3D907587"/>
    <w:rsid w:val="3F4E1E32"/>
    <w:rsid w:val="412F012D"/>
    <w:rsid w:val="434C2438"/>
    <w:rsid w:val="46A2033B"/>
    <w:rsid w:val="46E80A2F"/>
    <w:rsid w:val="4CD472F8"/>
    <w:rsid w:val="4EA569F0"/>
    <w:rsid w:val="4FC4684A"/>
    <w:rsid w:val="52252082"/>
    <w:rsid w:val="52DA1A56"/>
    <w:rsid w:val="540205D6"/>
    <w:rsid w:val="5662220C"/>
    <w:rsid w:val="5E065598"/>
    <w:rsid w:val="5F073B62"/>
    <w:rsid w:val="64336B5C"/>
    <w:rsid w:val="6AB3261A"/>
    <w:rsid w:val="6DFD5871"/>
    <w:rsid w:val="6ECB4DC9"/>
    <w:rsid w:val="733F24CC"/>
    <w:rsid w:val="76C93F9C"/>
    <w:rsid w:val="7BABE7EB"/>
    <w:rsid w:val="7C820EC6"/>
    <w:rsid w:val="7EFC74AD"/>
    <w:rsid w:val="9BBFE562"/>
    <w:rsid w:val="9EFE93A2"/>
    <w:rsid w:val="AFD7742A"/>
    <w:rsid w:val="DFBB31C5"/>
    <w:rsid w:val="E2E5A55E"/>
    <w:rsid w:val="F3EFE19C"/>
    <w:rsid w:val="F7FF03F1"/>
    <w:rsid w:val="FDFF4F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jc w:val="left"/>
      <w:outlineLvl w:val="0"/>
    </w:pPr>
    <w:rPr>
      <w:bCs w:val="0"/>
      <w:kern w:val="44"/>
      <w:sz w:val="44"/>
      <w:szCs w:val="44"/>
    </w:rPr>
  </w:style>
  <w:style w:type="paragraph" w:styleId="4">
    <w:name w:val="heading 2"/>
    <w:basedOn w:val="2"/>
    <w:qFormat/>
    <w:uiPriority w:val="0"/>
    <w:pPr>
      <w:numPr>
        <w:ilvl w:val="1"/>
        <w:numId w:val="1"/>
      </w:numPr>
      <w:spacing w:before="260" w:after="260" w:line="415" w:lineRule="auto"/>
      <w:outlineLvl w:val="1"/>
    </w:pPr>
    <w:rPr>
      <w:rFonts w:ascii="Arial" w:hAnsi="Arial" w:eastAsia="黑体"/>
      <w:bCs/>
      <w:sz w:val="32"/>
      <w:szCs w:val="32"/>
    </w:rPr>
  </w:style>
  <w:style w:type="paragraph" w:styleId="5">
    <w:name w:val="heading 3"/>
    <w:basedOn w:val="4"/>
    <w:qFormat/>
    <w:uiPriority w:val="0"/>
    <w:pPr>
      <w:keepNext/>
      <w:keepLines/>
      <w:numPr>
        <w:ilvl w:val="2"/>
        <w:numId w:val="1"/>
      </w:numPr>
      <w:spacing w:before="260" w:after="260" w:line="415" w:lineRule="auto"/>
      <w:outlineLvl w:val="2"/>
    </w:pPr>
    <w:rPr>
      <w:bCs w:val="0"/>
      <w:sz w:val="28"/>
    </w:rPr>
  </w:style>
  <w:style w:type="character" w:default="1" w:styleId="13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16"/>
    <w:qFormat/>
    <w:uiPriority w:val="0"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paragraph" w:styleId="6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7">
    <w:name w:val="toc 3"/>
    <w:basedOn w:val="1"/>
    <w:next w:val="1"/>
    <w:uiPriority w:val="39"/>
    <w:pPr>
      <w:ind w:left="840" w:leftChars="400"/>
    </w:pPr>
  </w:style>
  <w:style w:type="paragraph" w:styleId="8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iPriority w:val="39"/>
  </w:style>
  <w:style w:type="paragraph" w:styleId="11">
    <w:name w:val="toc 2"/>
    <w:basedOn w:val="1"/>
    <w:next w:val="1"/>
    <w:uiPriority w:val="39"/>
    <w:pPr>
      <w:tabs>
        <w:tab w:val="left" w:pos="816"/>
        <w:tab w:val="right" w:leader="dot" w:pos="8296"/>
      </w:tabs>
      <w:spacing w:line="360" w:lineRule="auto"/>
      <w:ind w:left="420" w:leftChars="200"/>
    </w:pPr>
  </w:style>
  <w:style w:type="character" w:styleId="14">
    <w:name w:val="page number"/>
    <w:basedOn w:val="13"/>
    <w:uiPriority w:val="0"/>
  </w:style>
  <w:style w:type="character" w:styleId="15">
    <w:name w:val="Hyperlink"/>
    <w:uiPriority w:val="99"/>
    <w:rPr>
      <w:color w:val="0000FF"/>
      <w:u w:val="single"/>
    </w:rPr>
  </w:style>
  <w:style w:type="character" w:customStyle="1" w:styleId="16">
    <w:name w:val="标题 字符"/>
    <w:link w:val="3"/>
    <w:uiPriority w:val="0"/>
    <w:rPr>
      <w:rFonts w:ascii="等线 Light" w:hAnsi="等线 Light" w:cs="Times New Roman"/>
      <w:b/>
      <w:bCs/>
      <w:kern w:val="2"/>
      <w:sz w:val="32"/>
      <w:szCs w:val="32"/>
    </w:rPr>
  </w:style>
  <w:style w:type="character" w:customStyle="1" w:styleId="17">
    <w:name w:val="页眉 字符"/>
    <w:link w:val="9"/>
    <w:uiPriority w:val="0"/>
    <w:rPr>
      <w:kern w:val="2"/>
      <w:sz w:val="18"/>
      <w:szCs w:val="18"/>
    </w:rPr>
  </w:style>
  <w:style w:type="paragraph" w:customStyle="1" w:styleId="18">
    <w:name w:val="_Style 16"/>
    <w:basedOn w:val="2"/>
    <w:next w:val="1"/>
    <w:qFormat/>
    <w:uiPriority w:val="39"/>
    <w:pPr>
      <w:widowControl/>
      <w:spacing w:before="240" w:after="0" w:line="259" w:lineRule="auto"/>
      <w:jc w:val="left"/>
      <w:outlineLvl w:val="9"/>
    </w:pPr>
    <w:rPr>
      <w:rFonts w:ascii="等线 Light" w:hAnsi="等线 Light" w:eastAsia="等线 Light" w:cs="Times New Roman"/>
      <w:b w:val="0"/>
      <w:bCs/>
      <w:color w:val="2F5496"/>
      <w:kern w:val="0"/>
      <w:sz w:val="32"/>
      <w:szCs w:val="32"/>
    </w:rPr>
  </w:style>
  <w:style w:type="paragraph" w:styleId="19">
    <w:name w:val="List Paragraph"/>
    <w:basedOn w:val="1"/>
    <w:qFormat/>
    <w:uiPriority w:val="34"/>
    <w:pPr>
      <w:ind w:firstLine="420" w:firstLineChars="200"/>
    </w:pPr>
    <w:rPr>
      <w:rFonts w:ascii="等线" w:hAnsi="等线" w:eastAsia="等线" w:cs="Times New Roman"/>
      <w:szCs w:val="22"/>
    </w:rPr>
  </w:style>
  <w:style w:type="paragraph" w:customStyle="1" w:styleId="20">
    <w:name w:val="_正文段落"/>
    <w:basedOn w:val="1"/>
    <w:qFormat/>
    <w:uiPriority w:val="0"/>
    <w:pPr>
      <w:spacing w:beforeLines="15" w:afterLines="30" w:line="360" w:lineRule="auto"/>
      <w:ind w:firstLine="20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1" Type="http://schemas.openxmlformats.org/officeDocument/2006/relationships/fontTable" Target="fontTable.xml"/><Relationship Id="rId40" Type="http://schemas.openxmlformats.org/officeDocument/2006/relationships/numbering" Target="numbering.xml"/><Relationship Id="rId4" Type="http://schemas.openxmlformats.org/officeDocument/2006/relationships/footer" Target="footer2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531</Words>
  <Characters>583</Characters>
  <Lines>19</Lines>
  <Paragraphs>5</Paragraphs>
  <TotalTime>1</TotalTime>
  <ScaleCrop>false</ScaleCrop>
  <LinksUpToDate>false</LinksUpToDate>
  <CharactersWithSpaces>627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2018-11-23T10:44:00Z</dcterms:created>
  <dc:creator>马超</dc:creator>
  <cp:lastModifiedBy>正经人</cp:lastModifiedBy>
  <dcterms:modified xsi:type="dcterms:W3CDTF">2026-05-22T02:33:23Z</dcterms:modified>
  <dc:title>全国建设项目竣工环境保护验收信息系统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0D90782B61E24D52BCFE11B9763EEAF0_13</vt:lpwstr>
  </property>
</Properties>
</file>